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  <w:t>Цель</w:t>
      </w: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 xml:space="preserve"> программы: создание условий для развития интеллектуально-творческой, одаренной личности через занятия шахматами.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 xml:space="preserve">Достигается указанная цель через решение следующих </w:t>
      </w:r>
      <w:r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  <w:t>задач</w:t>
      </w: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>: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Обучающие: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ознакомить с историей шахмат;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обучить правилам игры;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дать учащимся теоретические знания по шахматной игре;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ознакомить с правилами проведения соревнований и правилами турнирного поведения.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Развивающие: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логическое и образное мышления, память, внимание, усидчивость и другие положительные качества личности; ·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у учащихся практические навыки шахматной игры;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умение сохранять выдержку, критически относиться к себе и к сопернику; ·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сформировать навыки запоминания.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Воспитывающие: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прививать навыки самодисциплины;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способствовать воспитанию волевых качеств, самосовершенствования и самооценки;</w:t>
      </w:r>
    </w:p>
    <w:p w:rsidR="003E6347" w:rsidRDefault="003E6347" w:rsidP="003E6347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привить учащимся интерес к занятиям шахматами.</w:t>
      </w:r>
    </w:p>
    <w:p w:rsidR="003E6347" w:rsidRDefault="003E6347" w:rsidP="003E6347">
      <w:pPr>
        <w:pStyle w:val="10"/>
        <w:widowControl/>
        <w:suppressAutoHyphens w:val="0"/>
        <w:spacing w:line="360" w:lineRule="auto"/>
        <w:ind w:firstLine="567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 xml:space="preserve">Программа адресована детям от 12 до 18 лет. </w:t>
      </w: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</w:rPr>
        <w:t>При отборе детей учитываются их склонности, возможности, интересы. Вовлекаются не только самые способные и подготовленные учащиеся, но и средние и слабые по знаниям ребята. Помочь ученику найти себя как можно раньше – одна из важных задач программы.</w:t>
      </w:r>
    </w:p>
    <w:p w:rsidR="006B5A00" w:rsidRDefault="006B5A00"/>
    <w:sectPr w:rsidR="006B5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E6347"/>
    <w:rsid w:val="003E6347"/>
    <w:rsid w:val="006B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E6347"/>
  </w:style>
  <w:style w:type="paragraph" w:customStyle="1" w:styleId="10">
    <w:name w:val="Обычный1"/>
    <w:rsid w:val="003E6347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2024-02-02T16:47:00Z</dcterms:created>
  <dcterms:modified xsi:type="dcterms:W3CDTF">2024-02-02T16:48:00Z</dcterms:modified>
</cp:coreProperties>
</file>